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5D139" w14:textId="120085A3" w:rsidR="0048735B" w:rsidRPr="004A4C95" w:rsidRDefault="00000000">
      <w:pPr>
        <w:pStyle w:val="berschrift1"/>
        <w:rPr>
          <w:b/>
          <w:bCs/>
          <w:sz w:val="36"/>
          <w:szCs w:val="36"/>
        </w:rPr>
      </w:pPr>
      <w:proofErr w:type="spellStart"/>
      <w:r w:rsidRPr="004A4C95">
        <w:rPr>
          <w:b/>
          <w:bCs/>
          <w:sz w:val="36"/>
          <w:szCs w:val="36"/>
        </w:rPr>
        <w:t>Checkliste</w:t>
      </w:r>
      <w:proofErr w:type="spellEnd"/>
      <w:r w:rsidR="00395042">
        <w:rPr>
          <w:b/>
          <w:bCs/>
          <w:sz w:val="36"/>
          <w:szCs w:val="36"/>
        </w:rPr>
        <w:t xml:space="preserve"> für </w:t>
      </w:r>
      <w:proofErr w:type="spellStart"/>
      <w:r w:rsidRPr="004A4C95">
        <w:rPr>
          <w:b/>
          <w:bCs/>
          <w:sz w:val="36"/>
          <w:szCs w:val="36"/>
        </w:rPr>
        <w:t>Videokonferenzen</w:t>
      </w:r>
      <w:proofErr w:type="spellEnd"/>
    </w:p>
    <w:p w14:paraId="0C6B4F7D" w14:textId="77777777" w:rsidR="004A4C95" w:rsidRPr="004A4C95" w:rsidRDefault="004A4C95" w:rsidP="004A4C95"/>
    <w:p w14:paraId="3828731D" w14:textId="77777777" w:rsidR="0048735B" w:rsidRDefault="00000000">
      <w:r>
        <w:t>Checkliste: Auswahl und Nutzung von Videokonferenzdiensten</w:t>
      </w:r>
    </w:p>
    <w:p w14:paraId="02D4FFAC" w14:textId="77777777" w:rsidR="0048735B" w:rsidRDefault="00000000">
      <w:r>
        <w:t>Diese Checkliste unterstützt [UNTERNEHMEN] dabei, datenschutzgerechte Videokonferenzen auszuwählen und zu betreiben.</w:t>
      </w:r>
    </w:p>
    <w:p w14:paraId="40611EAF" w14:textId="77777777" w:rsidR="0048735B" w:rsidRDefault="00000000">
      <w:pPr>
        <w:pStyle w:val="Listennummer"/>
      </w:pPr>
      <w:r>
        <w:t>Notwendigkeit prüfen</w:t>
      </w:r>
    </w:p>
    <w:p w14:paraId="68E2F811" w14:textId="77777777" w:rsidR="0048735B" w:rsidRDefault="00000000">
      <w:r>
        <w:t>1.1 Prüfen Sie, ob statt einer Videokonferenz eine Telefonkonferenz oder eine rein schriftliche Abstimmung (z. B. E-Mail, Kollaborationstools) ausreicht. Telefonkonferenzen sind in der Regel datensparsamer und leichter datenschutzgerecht umzusetzen.</w:t>
      </w:r>
    </w:p>
    <w:p w14:paraId="66538282" w14:textId="77777777" w:rsidR="0048735B" w:rsidRDefault="00000000">
      <w:r>
        <w:t>1.2 Prüfen Sie, ob die Kamera wirklich erforderlich ist oder ob Audio plus Bildschirmfreigabe genügt.</w:t>
      </w:r>
    </w:p>
    <w:p w14:paraId="2CC2A95E" w14:textId="77777777" w:rsidR="0048735B" w:rsidRDefault="00000000">
      <w:pPr>
        <w:pStyle w:val="Listennummer"/>
        <w:numPr>
          <w:ilvl w:val="0"/>
          <w:numId w:val="10"/>
        </w:numPr>
      </w:pPr>
      <w:r>
        <w:t>Grundsatzentscheidung: Eigenbetrieb oder Cloud-Dienst</w:t>
      </w:r>
    </w:p>
    <w:p w14:paraId="42E84374" w14:textId="77777777" w:rsidR="0048735B" w:rsidRDefault="00000000">
      <w:r>
        <w:t>2.1 Prüfen Sie, ob ein eigener Dienst (On-Premises oder in einem eigenen/eigens angemieteten Rechenzentrum) mit Open-Source- oder kommerzieller Software betrieben werden kann.</w:t>
      </w:r>
    </w:p>
    <w:p w14:paraId="63709DD8" w14:textId="77777777" w:rsidR="0048735B" w:rsidRDefault="00000000">
      <w:pPr>
        <w:pStyle w:val="Aufzhlungszeichen"/>
      </w:pPr>
      <w:r>
        <w:t>Vorteil: volle Kontrolle über Serverstandorte und Konfiguration</w:t>
      </w:r>
    </w:p>
    <w:p w14:paraId="7264461A" w14:textId="77777777" w:rsidR="0048735B" w:rsidRDefault="00000000">
      <w:pPr>
        <w:pStyle w:val="Aufzhlungszeichen"/>
      </w:pPr>
      <w:r>
        <w:t>Voraussetzung: ausreichende interne IT-Ressourcen (Betrieb, Updates, Sicherheit)</w:t>
      </w:r>
    </w:p>
    <w:p w14:paraId="0BE23D19" w14:textId="77777777" w:rsidR="0048735B" w:rsidRDefault="00000000">
      <w:r>
        <w:t>2.2 Falls Eigenbetrieb nicht möglich oder wirtschaftlich nicht sinnvoll ist, wählen Sie einen Cloud-/SaaS-Anbieter.</w:t>
      </w:r>
    </w:p>
    <w:p w14:paraId="014EA00F" w14:textId="77777777" w:rsidR="0048735B" w:rsidRDefault="00000000">
      <w:pPr>
        <w:pStyle w:val="Listennummer"/>
        <w:numPr>
          <w:ilvl w:val="0"/>
          <w:numId w:val="11"/>
        </w:numPr>
      </w:pPr>
      <w:r>
        <w:t>Auswahlkriterien für den Anbieter</w:t>
      </w:r>
    </w:p>
    <w:p w14:paraId="405F06DD" w14:textId="77777777" w:rsidR="0048735B" w:rsidRDefault="00000000">
      <w:r>
        <w:t>3.1 Standort und Datentransfer</w:t>
      </w:r>
    </w:p>
    <w:p w14:paraId="18971498" w14:textId="77777777" w:rsidR="0048735B" w:rsidRDefault="00000000">
      <w:r>
        <w:t>3.1.1 Bevorzugen Sie Anbieter mit</w:t>
      </w:r>
    </w:p>
    <w:p w14:paraId="76FDD505" w14:textId="77777777" w:rsidR="0048735B" w:rsidRDefault="00000000">
      <w:pPr>
        <w:pStyle w:val="Aufzhlungszeichen"/>
      </w:pPr>
      <w:r>
        <w:t>Sitz im EWR und</w:t>
      </w:r>
    </w:p>
    <w:p w14:paraId="02E21DCD" w14:textId="77777777" w:rsidR="0048735B" w:rsidRDefault="00000000">
      <w:pPr>
        <w:pStyle w:val="Aufzhlungszeichen"/>
      </w:pPr>
      <w:r>
        <w:t>Datenverarbeitung (insbesondere Serverstandort) im EWR.</w:t>
      </w:r>
    </w:p>
    <w:p w14:paraId="379DF40D" w14:textId="77777777" w:rsidR="0048735B" w:rsidRDefault="00000000">
      <w:r>
        <w:t>3.1.2 Für Anbieter mit Datenübermittlung in Drittländer:</w:t>
      </w:r>
    </w:p>
    <w:p w14:paraId="41A86181" w14:textId="77777777" w:rsidR="0048735B" w:rsidRDefault="00000000">
      <w:pPr>
        <w:pStyle w:val="Aufzhlungszeichen"/>
      </w:pPr>
      <w:r>
        <w:t>Prüfen Sie, ob ein Angemessenheitsbeschluss nach Art. 45 DSGVO besteht (z. B. EU‑US Data Privacy Framework für entsprechend zertifizierte US-Unternehmen).</w:t>
      </w:r>
    </w:p>
    <w:p w14:paraId="73B166FB" w14:textId="77777777" w:rsidR="0048735B" w:rsidRDefault="00000000">
      <w:pPr>
        <w:pStyle w:val="Aufzhlungszeichen"/>
      </w:pPr>
      <w:r>
        <w:t>Ist kein Angemessenheitsbeschluss vorhanden, sind geeignete Garantien (z. B. Standardvertragsklauseln, Transfer Impact Assessment) erforderlich.</w:t>
      </w:r>
    </w:p>
    <w:p w14:paraId="77C89235" w14:textId="77777777" w:rsidR="0048735B" w:rsidRDefault="00000000">
      <w:r>
        <w:t>3.2 Rolle des Anbieters (Auftragsverarbeiter vs. eigener Verantwortlicher)</w:t>
      </w:r>
    </w:p>
    <w:p w14:paraId="649DF22A" w14:textId="77777777" w:rsidR="0048735B" w:rsidRDefault="00000000">
      <w:r>
        <w:t>3.2.1 Achten Sie darauf, dass der Anbieter die Daten als Auftragsverarbeiter nach Art. 28 DSGVO verarbeitet, nicht als eigener Verantwortlicher für eigene Zwecke.</w:t>
      </w:r>
    </w:p>
    <w:p w14:paraId="1A60194A" w14:textId="77777777" w:rsidR="0048735B" w:rsidRDefault="00000000">
      <w:r>
        <w:t>3.2.2 Der Anbieter darf Nutzungsdaten nicht für eigene Marketing-, Profiling- oder sonstige Zwecke nutzen, die über die Bereitstellung des Dienstes hinausgehen.</w:t>
      </w:r>
    </w:p>
    <w:p w14:paraId="73B6F22A" w14:textId="77777777" w:rsidR="0048735B" w:rsidRDefault="00000000">
      <w:r>
        <w:lastRenderedPageBreak/>
        <w:t>3.3 Auftragsverarbeitungsvertrag (AVV)</w:t>
      </w:r>
    </w:p>
    <w:p w14:paraId="4C751DA2" w14:textId="77777777" w:rsidR="0048735B" w:rsidRDefault="00000000">
      <w:r>
        <w:t>3.3.1 Schließen Sie mit dem Anbieter einen Auftragsverarbeitungsvertrag nach Art. 28 DSGVO, der insbesondere regelt:</w:t>
      </w:r>
    </w:p>
    <w:p w14:paraId="43FEAABD" w14:textId="77777777" w:rsidR="0048735B" w:rsidRDefault="00000000">
      <w:pPr>
        <w:pStyle w:val="Aufzhlungszeichen"/>
      </w:pPr>
      <w:r>
        <w:t>Gegenstand und Dauer der Verarbeitung</w:t>
      </w:r>
    </w:p>
    <w:p w14:paraId="1BE8FB2A" w14:textId="77777777" w:rsidR="0048735B" w:rsidRDefault="00000000">
      <w:pPr>
        <w:pStyle w:val="Aufzhlungszeichen"/>
      </w:pPr>
      <w:r>
        <w:t>Art und Zweck der Verarbeitung</w:t>
      </w:r>
    </w:p>
    <w:p w14:paraId="53F84051" w14:textId="77777777" w:rsidR="0048735B" w:rsidRDefault="00000000">
      <w:pPr>
        <w:pStyle w:val="Aufzhlungszeichen"/>
      </w:pPr>
      <w:r>
        <w:t>Kategorien von Daten und Betroffenen</w:t>
      </w:r>
    </w:p>
    <w:p w14:paraId="75C836E5" w14:textId="77777777" w:rsidR="0048735B" w:rsidRDefault="00000000">
      <w:pPr>
        <w:pStyle w:val="Aufzhlungszeichen"/>
      </w:pPr>
      <w:r>
        <w:t>technische und organisatorische Maßnahmen (TOMs)</w:t>
      </w:r>
    </w:p>
    <w:p w14:paraId="1CEED65F" w14:textId="77777777" w:rsidR="0048735B" w:rsidRDefault="00000000">
      <w:pPr>
        <w:pStyle w:val="Aufzhlungszeichen"/>
      </w:pPr>
      <w:r>
        <w:t>Unterauftragsverarbeiter (inkl. Drittlandsbezug)</w:t>
      </w:r>
    </w:p>
    <w:p w14:paraId="11A2B2A3" w14:textId="77777777" w:rsidR="0048735B" w:rsidRDefault="00000000">
      <w:pPr>
        <w:pStyle w:val="Aufzhlungszeichen"/>
      </w:pPr>
      <w:r>
        <w:t>Unterstützungsleistungen bei Betroffenenrechten und Datenschutzverletzungen</w:t>
      </w:r>
    </w:p>
    <w:p w14:paraId="29ABCC91" w14:textId="77777777" w:rsidR="0048735B" w:rsidRDefault="00000000">
      <w:pPr>
        <w:pStyle w:val="Aufzhlungszeichen"/>
      </w:pPr>
      <w:r>
        <w:t>Löschung bzw. Rückgabe von Daten nach Vertragsende</w:t>
      </w:r>
    </w:p>
    <w:p w14:paraId="3ED396BD" w14:textId="77777777" w:rsidR="0048735B" w:rsidRDefault="00000000">
      <w:r>
        <w:t>3.3.2 Prüfen Sie den AVV auf typische Schwachstellen (Eigennutzung, unklare Unterauftragsverarbeiter, weit gefasste Nutzungsrechte).</w:t>
      </w:r>
    </w:p>
    <w:p w14:paraId="564AB61D" w14:textId="77777777" w:rsidR="0048735B" w:rsidRDefault="00000000">
      <w:r>
        <w:t>3.4 Datensicherheit</w:t>
      </w:r>
    </w:p>
    <w:p w14:paraId="0B394E21" w14:textId="77777777" w:rsidR="0048735B" w:rsidRDefault="00000000">
      <w:r>
        <w:t>3.4.1 Verlangen Sie mindestens:</w:t>
      </w:r>
    </w:p>
    <w:p w14:paraId="3077086E" w14:textId="77777777" w:rsidR="0048735B" w:rsidRDefault="00000000">
      <w:pPr>
        <w:pStyle w:val="Aufzhlungszeichen"/>
      </w:pPr>
      <w:r>
        <w:t>Transportverschlüsselung (TLS)</w:t>
      </w:r>
    </w:p>
    <w:p w14:paraId="618B1F87" w14:textId="77777777" w:rsidR="0048735B" w:rsidRDefault="00000000">
      <w:pPr>
        <w:pStyle w:val="Aufzhlungszeichen"/>
      </w:pPr>
      <w:r>
        <w:t>wenn möglich Ende-zu-Ende-Verschlüsselung für Inhalte (z. B. Meeting-Inhalte)</w:t>
      </w:r>
    </w:p>
    <w:p w14:paraId="31456765" w14:textId="77777777" w:rsidR="0048735B" w:rsidRDefault="00000000">
      <w:pPr>
        <w:pStyle w:val="Aufzhlungszeichen"/>
      </w:pPr>
      <w:r>
        <w:t>sichere Authentifizierung (z. B. Single Sign-On, MFA)</w:t>
      </w:r>
    </w:p>
    <w:p w14:paraId="4E9C5001" w14:textId="77777777" w:rsidR="0048735B" w:rsidRDefault="00000000">
      <w:pPr>
        <w:pStyle w:val="Aufzhlungszeichen"/>
      </w:pPr>
      <w:r>
        <w:t>abgestufte Rollen (Host, Moderator, Teilnehmer)</w:t>
      </w:r>
    </w:p>
    <w:p w14:paraId="5DB606AF" w14:textId="77777777" w:rsidR="0048735B" w:rsidRDefault="00000000">
      <w:r>
        <w:t>3.4.2 Prüfen Sie, ob der Anbieter Zertifizierungen oder anerkannte Standards (z. B. ISO 27001) nachweisen kann.</w:t>
      </w:r>
    </w:p>
    <w:p w14:paraId="2B2B5CFD" w14:textId="77777777" w:rsidR="0048735B" w:rsidRDefault="00000000">
      <w:r>
        <w:t>3.5 Protokollierung, Telemetrie und Tracking</w:t>
      </w:r>
    </w:p>
    <w:p w14:paraId="399B2197" w14:textId="77777777" w:rsidR="0048735B" w:rsidRDefault="00000000">
      <w:r>
        <w:t>3.5.1 Prüfen Sie, welche Protokolldaten und Telemetriedaten der Anbieter erhebt (z. B. Logins, Dauer, IP-Adressen, Geräteinformationen).</w:t>
      </w:r>
    </w:p>
    <w:p w14:paraId="0F6462DE" w14:textId="77777777" w:rsidR="0048735B" w:rsidRDefault="00000000">
      <w:r>
        <w:t>3.5.2 Deaktivieren Sie, soweit möglich:</w:t>
      </w:r>
    </w:p>
    <w:p w14:paraId="19319D4B" w14:textId="77777777" w:rsidR="0048735B" w:rsidRDefault="00000000">
      <w:pPr>
        <w:pStyle w:val="Aufzhlungszeichen"/>
      </w:pPr>
      <w:r>
        <w:t>nutzerbezogenes Tracking,</w:t>
      </w:r>
    </w:p>
    <w:p w14:paraId="1F6BF408" w14:textId="77777777" w:rsidR="0048735B" w:rsidRDefault="00000000">
      <w:pPr>
        <w:pStyle w:val="Aufzhlungszeichen"/>
      </w:pPr>
      <w:r>
        <w:t>Analyse-/Marketingfunktionen,</w:t>
      </w:r>
    </w:p>
    <w:p w14:paraId="0B7D89B6" w14:textId="77777777" w:rsidR="0048735B" w:rsidRDefault="00000000">
      <w:pPr>
        <w:pStyle w:val="Aufzhlungszeichen"/>
      </w:pPr>
      <w:r>
        <w:t>Integrationen zu Werbe- oder Social-Media-Netzwerken.</w:t>
      </w:r>
    </w:p>
    <w:p w14:paraId="6A18C46F" w14:textId="77777777" w:rsidR="0048735B" w:rsidRDefault="00000000">
      <w:pPr>
        <w:pStyle w:val="Listennummer"/>
        <w:numPr>
          <w:ilvl w:val="0"/>
          <w:numId w:val="12"/>
        </w:numPr>
      </w:pPr>
      <w:r>
        <w:t>Konfiguration und Betriebsregeln</w:t>
      </w:r>
    </w:p>
    <w:p w14:paraId="5334D4CD" w14:textId="77777777" w:rsidR="0048735B" w:rsidRDefault="00000000">
      <w:r>
        <w:t>4.1 Standardeinstellungen</w:t>
      </w:r>
    </w:p>
    <w:p w14:paraId="2CD4ADB1" w14:textId="77777777" w:rsidR="0048735B" w:rsidRDefault="00000000">
      <w:r>
        <w:t>4.1.1 Legen Sie datenschutzfreundliche Voreinstellungen fest, z. B.:</w:t>
      </w:r>
    </w:p>
    <w:p w14:paraId="76182462" w14:textId="77777777" w:rsidR="0048735B" w:rsidRDefault="00000000">
      <w:pPr>
        <w:pStyle w:val="Aufzhlungszeichen"/>
      </w:pPr>
      <w:r>
        <w:t>Kamera standardmäßig aus, Mikrofon stumm beim Betreten</w:t>
      </w:r>
    </w:p>
    <w:p w14:paraId="1738AF93" w14:textId="77777777" w:rsidR="0048735B" w:rsidRDefault="00000000">
      <w:pPr>
        <w:pStyle w:val="Aufzhlungszeichen"/>
      </w:pPr>
      <w:r>
        <w:t>Warteraum/Lobby-Funktion aktiv</w:t>
      </w:r>
    </w:p>
    <w:p w14:paraId="74B46A7F" w14:textId="77777777" w:rsidR="0048735B" w:rsidRDefault="00000000">
      <w:pPr>
        <w:pStyle w:val="Aufzhlungszeichen"/>
      </w:pPr>
      <w:r>
        <w:t>Kenncodes für Meetings, keine „offenen“ Räume</w:t>
      </w:r>
    </w:p>
    <w:p w14:paraId="48669102" w14:textId="77777777" w:rsidR="0048735B" w:rsidRDefault="00000000">
      <w:pPr>
        <w:pStyle w:val="Aufzhlungszeichen"/>
      </w:pPr>
      <w:r>
        <w:t>Bildschirmfreigabe nur für Moderation/Host oder bewusst freigeben</w:t>
      </w:r>
    </w:p>
    <w:p w14:paraId="21D5D1C5" w14:textId="77777777" w:rsidR="0048735B" w:rsidRDefault="00000000">
      <w:r>
        <w:t>4.1.2 Deaktivieren Sie, soweit nicht nötig:</w:t>
      </w:r>
    </w:p>
    <w:p w14:paraId="22DD3674" w14:textId="77777777" w:rsidR="0048735B" w:rsidRDefault="00000000">
      <w:pPr>
        <w:pStyle w:val="Aufzhlungszeichen"/>
      </w:pPr>
      <w:r>
        <w:t>Aufzeichnungsfunktion</w:t>
      </w:r>
    </w:p>
    <w:p w14:paraId="1B7EC959" w14:textId="77777777" w:rsidR="0048735B" w:rsidRDefault="00000000">
      <w:pPr>
        <w:pStyle w:val="Aufzhlungszeichen"/>
      </w:pPr>
      <w:r>
        <w:lastRenderedPageBreak/>
        <w:t>automatische Speicherung von Chats und Transkripten</w:t>
      </w:r>
    </w:p>
    <w:p w14:paraId="69FF2090" w14:textId="77777777" w:rsidR="0048735B" w:rsidRDefault="00000000">
      <w:pPr>
        <w:pStyle w:val="Aufzhlungszeichen"/>
      </w:pPr>
      <w:r>
        <w:t>Cloud-Aufzeichnung, wenn lokale Speicherung ausreicht</w:t>
      </w:r>
    </w:p>
    <w:p w14:paraId="7B912E38" w14:textId="77777777" w:rsidR="0048735B" w:rsidRDefault="00000000">
      <w:r>
        <w:t>4.2 Aufzeichnung und Dokumentation</w:t>
      </w:r>
    </w:p>
    <w:p w14:paraId="0BA7087E" w14:textId="77777777" w:rsidR="0048735B" w:rsidRDefault="00000000">
      <w:r>
        <w:t>4.2.1 Aufzeichnungen von Videokonferenzen sind nur in begründeten Ausnahmefällen zulässig und bedürfen in der Regel einer Einwilligung der Teilnehmenden oder einer sehr klaren gesetzlichen Grundlage.</w:t>
      </w:r>
    </w:p>
    <w:p w14:paraId="21FD7DDA" w14:textId="77777777" w:rsidR="0048735B" w:rsidRDefault="00000000">
      <w:r>
        <w:t>4.2.2 Vor jeder Aufzeichnung:</w:t>
      </w:r>
    </w:p>
    <w:p w14:paraId="14D1D0E4" w14:textId="77777777" w:rsidR="0048735B" w:rsidRDefault="00000000">
      <w:pPr>
        <w:pStyle w:val="Aufzhlungszeichen"/>
      </w:pPr>
      <w:r>
        <w:t>Zweck klar benennen</w:t>
      </w:r>
    </w:p>
    <w:p w14:paraId="50477340" w14:textId="77777777" w:rsidR="0048735B" w:rsidRDefault="00000000">
      <w:pPr>
        <w:pStyle w:val="Aufzhlungszeichen"/>
      </w:pPr>
      <w:r>
        <w:t>Teilnehmende informieren</w:t>
      </w:r>
    </w:p>
    <w:p w14:paraId="601D2F78" w14:textId="77777777" w:rsidR="0048735B" w:rsidRDefault="00000000">
      <w:pPr>
        <w:pStyle w:val="Aufzhlungszeichen"/>
      </w:pPr>
      <w:r>
        <w:t>Einwilligung dokumentieren (z. B. protokollierter Zustimmungsprozess oder schriftliche Einwilligung)</w:t>
      </w:r>
    </w:p>
    <w:p w14:paraId="5AB30AE6" w14:textId="77777777" w:rsidR="0048735B" w:rsidRDefault="00000000">
      <w:r>
        <w:t>4.2.3 Definieren Sie Löschfristen für Aufzeichnungen und begleitende Daten (Chat, Protokolle).</w:t>
      </w:r>
    </w:p>
    <w:p w14:paraId="21B60082" w14:textId="77777777" w:rsidR="0048735B" w:rsidRDefault="00000000">
      <w:r>
        <w:t>4.3 Teilnahmebedingungen für Beschäftigte und Externe</w:t>
      </w:r>
    </w:p>
    <w:p w14:paraId="5E3E44BB" w14:textId="77777777" w:rsidR="0048735B" w:rsidRDefault="00000000">
      <w:r>
        <w:t>4.3.1 Informieren Sie Beschäftigte über:</w:t>
      </w:r>
    </w:p>
    <w:p w14:paraId="15DF9B0B" w14:textId="77777777" w:rsidR="0048735B" w:rsidRDefault="00000000">
      <w:pPr>
        <w:pStyle w:val="Aufzhlungszeichen"/>
      </w:pPr>
      <w:r>
        <w:t>zulässige Nutzung (z. B. keine privaten Aufzeichnungen, keine Screenshots ohne Anlass),</w:t>
      </w:r>
    </w:p>
    <w:p w14:paraId="3E4BB80F" w14:textId="77777777" w:rsidR="0048735B" w:rsidRDefault="00000000">
      <w:pPr>
        <w:pStyle w:val="Aufzhlungszeichen"/>
      </w:pPr>
      <w:r>
        <w:t>Umgang mit vertraulichen Inhalten (z. B. keine Einsicht Dritter im Homeoffice),</w:t>
      </w:r>
    </w:p>
    <w:p w14:paraId="79E0E0BA" w14:textId="77777777" w:rsidR="0048735B" w:rsidRDefault="00000000">
      <w:pPr>
        <w:pStyle w:val="Aufzhlungszeichen"/>
      </w:pPr>
      <w:r>
        <w:t>richtige Nutzung von Kamera und Bildschirmfreigabe.</w:t>
      </w:r>
    </w:p>
    <w:p w14:paraId="431A3223" w14:textId="77777777" w:rsidR="0048735B" w:rsidRDefault="00000000">
      <w:r>
        <w:t>4.3.2 Informieren Sie externe Teilnehmende (Kunden, Partner etc.) in geeigneter Form (z. B. Datenschutzhinweis zur Videokonferenz, Einladungstext mit Link auf Datenschutzhinweise).</w:t>
      </w:r>
    </w:p>
    <w:p w14:paraId="5F023836" w14:textId="77777777" w:rsidR="0048735B" w:rsidRDefault="00000000">
      <w:pPr>
        <w:pStyle w:val="Listennummer"/>
        <w:numPr>
          <w:ilvl w:val="0"/>
          <w:numId w:val="13"/>
        </w:numPr>
      </w:pPr>
      <w:r>
        <w:t>Dokumentation</w:t>
      </w:r>
    </w:p>
    <w:p w14:paraId="7333651A" w14:textId="77777777" w:rsidR="0048735B" w:rsidRDefault="00000000">
      <w:r>
        <w:t>5.1 Dokumentieren Sie:</w:t>
      </w:r>
    </w:p>
    <w:p w14:paraId="15BA8F75" w14:textId="77777777" w:rsidR="0048735B" w:rsidRDefault="00000000">
      <w:pPr>
        <w:pStyle w:val="Aufzhlungszeichen"/>
      </w:pPr>
      <w:r>
        <w:t>den ausgewählten Dienst und die Gründe der Auswahl,</w:t>
      </w:r>
    </w:p>
    <w:p w14:paraId="311E3C78" w14:textId="77777777" w:rsidR="0048735B" w:rsidRDefault="00000000">
      <w:pPr>
        <w:pStyle w:val="Aufzhlungszeichen"/>
      </w:pPr>
      <w:r>
        <w:t>die Prüfung (mindestens stichpunktartig) zu Standort, AVV, technischen Maßnahmen, Drittlandtransfers,</w:t>
      </w:r>
    </w:p>
    <w:p w14:paraId="70028D93" w14:textId="77777777" w:rsidR="0048735B" w:rsidRDefault="00000000">
      <w:pPr>
        <w:pStyle w:val="Aufzhlungszeichen"/>
      </w:pPr>
      <w:r>
        <w:t>etwaige zusätzliche Schutzmaßnahmen (z. B. Pseudonymisierung, Beschränkung von Funktionen).</w:t>
      </w:r>
    </w:p>
    <w:p w14:paraId="2CFE3345" w14:textId="77777777" w:rsidR="0048735B" w:rsidRDefault="00000000">
      <w:r>
        <w:t>5.2 Halten Sie fest, wie die Videokonferenzlösung im Verzeichnis von Verarbeitungstätigkeiten (VVT) beschrieben ist (Zwecke, Kategorien, Rechtsgrundlagen, Empfänger, Speicherdauer, TOMs).</w:t>
      </w:r>
    </w:p>
    <w:p w14:paraId="2F01A314" w14:textId="77777777" w:rsidR="0048735B" w:rsidRDefault="00000000">
      <w:pPr>
        <w:pStyle w:val="Listennummer"/>
        <w:numPr>
          <w:ilvl w:val="0"/>
          <w:numId w:val="14"/>
        </w:numPr>
      </w:pPr>
      <w:r>
        <w:t>Umgang mit Drittlandtransfers (inkl. USA)</w:t>
      </w:r>
    </w:p>
    <w:p w14:paraId="6CD9F4E7" w14:textId="77777777" w:rsidR="0048735B" w:rsidRDefault="00000000">
      <w:r>
        <w:t>6.1 Wenn der Anbieter oder seine Unterauftragsverarbeiter Daten außerhalb des EWR verarbeiten:</w:t>
      </w:r>
    </w:p>
    <w:p w14:paraId="00953C6E" w14:textId="77777777" w:rsidR="0048735B" w:rsidRDefault="00000000">
      <w:pPr>
        <w:pStyle w:val="Aufzhlungszeichen"/>
      </w:pPr>
      <w:r>
        <w:lastRenderedPageBreak/>
        <w:t>Prüfen, ob ein Angemessenheitsbeschluss besteht (z. B. EU‑US Data Privacy Framework für zertifizierte US-Unternehmen).</w:t>
      </w:r>
    </w:p>
    <w:p w14:paraId="783BFAD6" w14:textId="77777777" w:rsidR="0048735B" w:rsidRDefault="00000000">
      <w:pPr>
        <w:pStyle w:val="Aufzhlungszeichen"/>
      </w:pPr>
      <w:r>
        <w:t>Falls kein Angemessenheitsbeschluss: Einsatz geeigneter Garantien (meist EU-Standardvertragsklauseln) und Durchführung einer Transfer-Folgenabschätzung (TIA).</w:t>
      </w:r>
    </w:p>
    <w:p w14:paraId="3012CA65" w14:textId="77777777" w:rsidR="0048735B" w:rsidRDefault="00000000">
      <w:r>
        <w:t>6.2 Stellen Sie sicher, dass der AVV und die Vertragsdokumentation diese Drittlandtransfers transparent machen.</w:t>
      </w:r>
    </w:p>
    <w:p w14:paraId="5BEB6439" w14:textId="77777777" w:rsidR="0048735B" w:rsidRDefault="00000000">
      <w:pPr>
        <w:pStyle w:val="Listennummer"/>
        <w:numPr>
          <w:ilvl w:val="0"/>
          <w:numId w:val="15"/>
        </w:numPr>
      </w:pPr>
      <w:r>
        <w:t>Übergang von „Alt-Lösungen“</w:t>
      </w:r>
    </w:p>
    <w:p w14:paraId="7070CF3F" w14:textId="77777777" w:rsidR="0048735B" w:rsidRDefault="00000000">
      <w:r>
        <w:t>7.1 Videokonferenzlösungen, die während der COVID‑19‑Pandemie schnell eingeführt wurden und die heutigen Anforderungen nicht erfüllen, sollten:</w:t>
      </w:r>
    </w:p>
    <w:p w14:paraId="32CB9D59" w14:textId="77777777" w:rsidR="0048735B" w:rsidRDefault="00000000">
      <w:pPr>
        <w:pStyle w:val="Aufzhlungszeichen"/>
      </w:pPr>
      <w:r>
        <w:t>entweder ersetzt oder</w:t>
      </w:r>
    </w:p>
    <w:p w14:paraId="486023BE" w14:textId="77777777" w:rsidR="0048735B" w:rsidRDefault="00000000">
      <w:pPr>
        <w:pStyle w:val="Aufzhlungszeichen"/>
      </w:pPr>
      <w:r>
        <w:t>durch passende Konfiguration, ergänzende Verträge und Maßnahmen auf ein rechtlich vertretbares Niveau gebracht werden.</w:t>
      </w:r>
    </w:p>
    <w:p w14:paraId="2B4803A5" w14:textId="77777777" w:rsidR="0048735B" w:rsidRDefault="00000000">
      <w:r>
        <w:t>7.2 Führen Sie bei Umstieg oder Nachkonfiguration eine kurze Datenschutz-Folgenabschätzung (DSFA-Light / Risikoanalyse) durch, wenn besondere Kategorien von Daten oder besonders schutzbedürftige Gruppen (z. B. Kinder, Patienten, Beschäftigtendaten) betroffen sind.</w:t>
      </w:r>
    </w:p>
    <w:p w14:paraId="04C09FB2" w14:textId="77777777" w:rsidR="0048735B" w:rsidRDefault="00000000">
      <w:r>
        <w:t>Stand: 07.07.2026</w:t>
      </w:r>
    </w:p>
    <w:sectPr w:rsidR="0048735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0961690">
    <w:abstractNumId w:val="8"/>
  </w:num>
  <w:num w:numId="2" w16cid:durableId="733889861">
    <w:abstractNumId w:val="6"/>
  </w:num>
  <w:num w:numId="3" w16cid:durableId="1015300673">
    <w:abstractNumId w:val="5"/>
  </w:num>
  <w:num w:numId="4" w16cid:durableId="2030792088">
    <w:abstractNumId w:val="4"/>
  </w:num>
  <w:num w:numId="5" w16cid:durableId="159935027">
    <w:abstractNumId w:val="7"/>
  </w:num>
  <w:num w:numId="6" w16cid:durableId="2065374234">
    <w:abstractNumId w:val="3"/>
  </w:num>
  <w:num w:numId="7" w16cid:durableId="1906187093">
    <w:abstractNumId w:val="2"/>
  </w:num>
  <w:num w:numId="8" w16cid:durableId="134184899">
    <w:abstractNumId w:val="1"/>
  </w:num>
  <w:num w:numId="9" w16cid:durableId="2002345427">
    <w:abstractNumId w:val="0"/>
  </w:num>
  <w:num w:numId="10" w16cid:durableId="354381221">
    <w:abstractNumId w:val="7"/>
    <w:lvlOverride w:ilvl="0">
      <w:startOverride w:val="2"/>
    </w:lvlOverride>
  </w:num>
  <w:num w:numId="11" w16cid:durableId="1293443856">
    <w:abstractNumId w:val="7"/>
    <w:lvlOverride w:ilvl="0">
      <w:startOverride w:val="3"/>
    </w:lvlOverride>
  </w:num>
  <w:num w:numId="12" w16cid:durableId="1767775047">
    <w:abstractNumId w:val="7"/>
    <w:lvlOverride w:ilvl="0">
      <w:startOverride w:val="4"/>
    </w:lvlOverride>
  </w:num>
  <w:num w:numId="13" w16cid:durableId="1150170061">
    <w:abstractNumId w:val="7"/>
    <w:lvlOverride w:ilvl="0">
      <w:startOverride w:val="5"/>
    </w:lvlOverride>
  </w:num>
  <w:num w:numId="14" w16cid:durableId="1063717891">
    <w:abstractNumId w:val="7"/>
    <w:lvlOverride w:ilvl="0">
      <w:startOverride w:val="6"/>
    </w:lvlOverride>
  </w:num>
  <w:num w:numId="15" w16cid:durableId="677125806">
    <w:abstractNumId w:val="7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95042"/>
    <w:rsid w:val="0048735B"/>
    <w:rsid w:val="004A4C95"/>
    <w:rsid w:val="005A337A"/>
    <w:rsid w:val="00736145"/>
    <w:rsid w:val="009E3D60"/>
    <w:rsid w:val="00AA1D8D"/>
    <w:rsid w:val="00AB64DB"/>
    <w:rsid w:val="00B47730"/>
    <w:rsid w:val="00CB0664"/>
    <w:rsid w:val="00EB748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5C913D"/>
  <w14:defaultImageDpi w14:val="300"/>
  <w15:docId w15:val="{21CC0492-E146-4AB7-B29F-59B306D4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64DB"/>
  </w:style>
  <w:style w:type="paragraph" w:styleId="berschrift1">
    <w:name w:val="heading 1"/>
    <w:basedOn w:val="Standard"/>
    <w:next w:val="Standard"/>
    <w:link w:val="berschrift1Zchn"/>
    <w:uiPriority w:val="9"/>
    <w:qFormat/>
    <w:rsid w:val="00AB6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B6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B64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B64DB"/>
    <w:pPr>
      <w:keepNext/>
      <w:keepLines/>
      <w:spacing w:before="40" w:after="0"/>
      <w:outlineLvl w:val="3"/>
    </w:pPr>
    <w:rPr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B64DB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B64DB"/>
    <w:pPr>
      <w:keepNext/>
      <w:keepLines/>
      <w:spacing w:before="40" w:after="0"/>
      <w:outlineLvl w:val="5"/>
    </w:p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B64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B64DB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B64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AB64DB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AB64DB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B64DB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B64DB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AB64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B64D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B64D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B64DB"/>
    <w:rPr>
      <w:color w:val="5A5A5A" w:themeColor="text1" w:themeTint="A5"/>
      <w:spacing w:val="15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AB64D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B64DB"/>
    <w:rPr>
      <w:i/>
      <w:iCs/>
      <w:color w:val="404040" w:themeColor="text1" w:themeTint="BF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B64DB"/>
    <w:rPr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B64DB"/>
    <w:rPr>
      <w:color w:val="404040" w:themeColor="text1" w:themeTint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B64DB"/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B64DB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B64DB"/>
    <w:rPr>
      <w:color w:val="262626" w:themeColor="text1" w:themeTint="D9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B64D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B64DB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Fett">
    <w:name w:val="Strong"/>
    <w:basedOn w:val="Absatz-Standardschriftart"/>
    <w:uiPriority w:val="22"/>
    <w:qFormat/>
    <w:rsid w:val="00AB64DB"/>
    <w:rPr>
      <w:b/>
      <w:bCs/>
      <w:color w:val="auto"/>
    </w:rPr>
  </w:style>
  <w:style w:type="character" w:styleId="Hervorhebung">
    <w:name w:val="Emphasis"/>
    <w:basedOn w:val="Absatz-Standardschriftart"/>
    <w:uiPriority w:val="20"/>
    <w:qFormat/>
    <w:rsid w:val="00AB64DB"/>
    <w:rPr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B64DB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B64DB"/>
    <w:rPr>
      <w:i/>
      <w:iCs/>
      <w:color w:val="404040" w:themeColor="text1" w:themeTint="BF"/>
    </w:rPr>
  </w:style>
  <w:style w:type="character" w:styleId="SchwacheHervorhebung">
    <w:name w:val="Subtle Emphasis"/>
    <w:basedOn w:val="Absatz-Standardschriftart"/>
    <w:uiPriority w:val="19"/>
    <w:qFormat/>
    <w:rsid w:val="00AB64DB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AB64DB"/>
    <w:rPr>
      <w:b/>
      <w:bCs/>
      <w:i/>
      <w:iCs/>
      <w:color w:val="auto"/>
    </w:rPr>
  </w:style>
  <w:style w:type="character" w:styleId="SchwacherVerweis">
    <w:name w:val="Subtle Reference"/>
    <w:basedOn w:val="Absatz-Standardschriftart"/>
    <w:uiPriority w:val="31"/>
    <w:qFormat/>
    <w:rsid w:val="00AB64DB"/>
    <w:rPr>
      <w:smallCap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AB64DB"/>
    <w:rPr>
      <w:b/>
      <w:bCs/>
      <w:smallCaps/>
      <w:color w:val="404040" w:themeColor="text1" w:themeTint="BF"/>
      <w:spacing w:val="5"/>
    </w:rPr>
  </w:style>
  <w:style w:type="character" w:styleId="Buchtitel">
    <w:name w:val="Book Title"/>
    <w:basedOn w:val="Absatz-Standardschriftart"/>
    <w:uiPriority w:val="33"/>
    <w:qFormat/>
    <w:rsid w:val="00AB64DB"/>
    <w:rPr>
      <w:b/>
      <w:bCs/>
      <w:i/>
      <w:iC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B64DB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879</Words>
  <Characters>5542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Henning Wehming</cp:lastModifiedBy>
  <cp:revision>4</cp:revision>
  <dcterms:created xsi:type="dcterms:W3CDTF">2013-12-23T23:15:00Z</dcterms:created>
  <dcterms:modified xsi:type="dcterms:W3CDTF">2026-07-07T17:12:00Z</dcterms:modified>
  <cp:category/>
</cp:coreProperties>
</file>